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资格承诺函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致：肇庆市鼎湖区人民法院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在充分理解并响应贵院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《关于液晶显示器采购的公开询价公告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</w:rPr>
        <w:t>的基础上，我单位（供应商名称：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）郑重承诺：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我单位具有良好的商业信誉，并已建立健全的财务会计制度，能够依法履行纳税人义务，并按规定为员工缴纳社会保险资金，财务状况良好，具备履行本项目合同的能力。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我单位拥有履行本项目合同所必需的专业技术团队、维修保养设备、清洁工具及车辆等专业技术能力，能够确保按照合同约定及贵院要求完成所有服务内容。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我单位在参加本次采购活动前三年内，在经营活动中没有因违法经营受到刑事处罚或者责令停产停业、吊销许可证或者执照、较大数额罚款等重大违法记录。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我单位及法定代表人、拟投入本项目的主要负责人在此期间内亦无行贿犯罪记录。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对上述承诺内容的真实性负责。我方理解，如被确认为成交候选或成交供应商，贵院有权对我单位的承诺事项进行核查。若在上述任何一项承诺中被发现存在虚假或隐瞒情况，我单位自愿承担所有后果，包括但不限于报价被作无效处理、取消成交资格、列入不良行为记录名单等，并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供应商名称（公章）：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统一社会信用代码：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法定代表人（签字或盖章）：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>
      <w:pPr>
        <w:rPr>
          <w:rFonts w:hint="eastAsia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9241D"/>
    <w:rsid w:val="0E8721D6"/>
    <w:rsid w:val="0EAE1A39"/>
    <w:rsid w:val="264350E4"/>
    <w:rsid w:val="54CD6794"/>
    <w:rsid w:val="56B5455E"/>
    <w:rsid w:val="696E5C1D"/>
    <w:rsid w:val="7729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区法院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2025-10-14T09:08:00Z</dcterms:created>
  <dc:creator>Administrator</dc:creator>
  <cp:lastModifiedBy>Administrator</cp:lastModifiedBy>
  <dcterms:modified xsi:type="dcterms:W3CDTF">2025-12-05T07:05:29Z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